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>Что позволяет применять методы расчета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800" cy="171450"/>
            <wp:effectExtent l="19050" t="0" r="0" b="0"/>
            <wp:docPr id="159" name="Рисунок 159" descr="http://kurs.ido.tpu.ru/courses/emppves/chapter/chapter_6/pics/f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://kurs.ido.tpu.ru/courses/emppves/chapter/chapter_6/pics/f24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  к расчету несимметричных режимов КЗ? </w:t>
      </w:r>
    </w:p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Напишите обобщенное расчетное выражение для периодического тока произвольного несимметричного КЗ. </w:t>
      </w:r>
    </w:p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>Запишите выражения для дополнительных сопротивлений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5750" cy="238125"/>
            <wp:effectExtent l="19050" t="0" r="0" b="0"/>
            <wp:docPr id="160" name="Рисунок 160" descr="http://kurs.ido.tpu.ru/courses/emppves/chapter/chapter_6/pics/f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://kurs.ido.tpu.ru/courses/emppves/chapter/chapter_6/pics/f25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>  и коэффициентов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6225" cy="152400"/>
            <wp:effectExtent l="19050" t="0" r="9525" b="0"/>
            <wp:docPr id="161" name="Рисунок 161" descr="http://kurs.ido.tpu.ru/courses/emppves/chapter/chapter_6/pics/f4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kurs.ido.tpu.ru/courses/emppves/chapter/chapter_6/pics/f453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  для различных видов </w:t>
      </w:r>
      <w:proofErr w:type="gramStart"/>
      <w:r w:rsidRPr="00962B28">
        <w:rPr>
          <w:rFonts w:ascii="Times New Roman" w:eastAsia="Times New Roman" w:hAnsi="Times New Roman" w:cs="Times New Roman"/>
          <w:sz w:val="24"/>
          <w:szCs w:val="24"/>
        </w:rPr>
        <w:t>поперечной</w:t>
      </w:r>
      <w:proofErr w:type="gramEnd"/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2B28">
        <w:rPr>
          <w:rFonts w:ascii="Times New Roman" w:eastAsia="Times New Roman" w:hAnsi="Times New Roman" w:cs="Times New Roman"/>
          <w:sz w:val="24"/>
          <w:szCs w:val="24"/>
        </w:rPr>
        <w:t>несимметрии</w:t>
      </w:r>
      <w:proofErr w:type="spellEnd"/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По каким выражениям рассчитываются симметричные составляющие напряжений в месте КЗ? </w:t>
      </w:r>
    </w:p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Как изменяются симметричные составляющие остаточных напряжений по мере удаления от точки несимметричного замыкания? </w:t>
      </w:r>
    </w:p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Являются ли в силе соотношения между симметричными составляющими токов (напряжений) по месту КЗ и для участков схемы (узлов и ветвей), удаленных от узла КЗ? </w:t>
      </w:r>
    </w:p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Для каких целей используются комплексные коэффициенты трансформации? </w:t>
      </w:r>
    </w:p>
    <w:p w:rsidR="00337DBE" w:rsidRPr="00962B28" w:rsidRDefault="00337DBE" w:rsidP="00337D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При каких условиях токи несимметричных КЗ больше тока трехфазного КЗ? </w:t>
      </w:r>
    </w:p>
    <w:p w:rsidR="003451FB" w:rsidRDefault="003451FB"/>
    <w:sectPr w:rsidR="00345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A6AC2"/>
    <w:multiLevelType w:val="multilevel"/>
    <w:tmpl w:val="BE36C366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337DBE"/>
    <w:rsid w:val="00337DBE"/>
    <w:rsid w:val="00345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D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AKunapianova</dc:creator>
  <cp:keywords/>
  <dc:description/>
  <cp:lastModifiedBy>AKunapianova</cp:lastModifiedBy>
  <cp:revision>2</cp:revision>
  <dcterms:created xsi:type="dcterms:W3CDTF">2017-10-02T07:45:00Z</dcterms:created>
  <dcterms:modified xsi:type="dcterms:W3CDTF">2017-10-02T07:45:00Z</dcterms:modified>
</cp:coreProperties>
</file>